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8"/>
        <w:gridCol w:w="3024"/>
        <w:gridCol w:w="1495"/>
        <w:gridCol w:w="2999"/>
      </w:tblGrid>
      <w:tr w:rsidR="0033299D" w:rsidRPr="00D46DD7" w14:paraId="728DF8FA" w14:textId="77777777" w:rsidTr="5DDBBEA4">
        <w:trPr>
          <w:cnfStyle w:val="100000000000" w:firstRow="1" w:lastRow="0" w:firstColumn="0" w:lastColumn="0" w:oddVBand="0" w:evenVBand="0" w:oddHBand="0" w:evenHBand="0" w:firstRowFirstColumn="0" w:firstRowLastColumn="0" w:lastRowFirstColumn="0" w:lastRowLastColumn="0"/>
        </w:trPr>
        <w:tc>
          <w:tcPr>
            <w:tcW w:w="1555" w:type="dxa"/>
            <w:shd w:val="clear" w:color="auto" w:fill="auto"/>
          </w:tcPr>
          <w:p w14:paraId="305F1AB3" w14:textId="77777777" w:rsidR="005F5CC5" w:rsidRPr="00D46DD7" w:rsidRDefault="005F5CC5" w:rsidP="00D97C55">
            <w:pPr>
              <w:spacing w:before="0" w:after="0"/>
              <w:rPr>
                <w:color w:val="auto"/>
                <w:sz w:val="22"/>
                <w:szCs w:val="22"/>
              </w:rPr>
            </w:pPr>
            <w:r w:rsidRPr="00D46DD7">
              <w:rPr>
                <w:color w:val="auto"/>
                <w:sz w:val="22"/>
                <w:szCs w:val="22"/>
              </w:rPr>
              <w:t>Job title</w:t>
            </w:r>
          </w:p>
        </w:tc>
        <w:tc>
          <w:tcPr>
            <w:tcW w:w="3255" w:type="dxa"/>
            <w:shd w:val="clear" w:color="auto" w:fill="auto"/>
          </w:tcPr>
          <w:p w14:paraId="4B901FFD" w14:textId="7F1E21F7" w:rsidR="005F5CC5" w:rsidRPr="00D46DD7" w:rsidRDefault="005F5CC5" w:rsidP="5DDBBEA4">
            <w:pPr>
              <w:spacing w:before="0" w:after="0"/>
              <w:rPr>
                <w:b w:val="0"/>
                <w:color w:val="auto"/>
                <w:sz w:val="22"/>
                <w:szCs w:val="22"/>
              </w:rPr>
            </w:pPr>
            <w:r w:rsidRPr="5DDBBEA4">
              <w:rPr>
                <w:b w:val="0"/>
                <w:color w:val="auto"/>
                <w:sz w:val="22"/>
                <w:szCs w:val="22"/>
              </w:rPr>
              <w:t>Compliance</w:t>
            </w:r>
            <w:r w:rsidR="4B0BE6B5" w:rsidRPr="5DDBBEA4">
              <w:rPr>
                <w:b w:val="0"/>
                <w:color w:val="auto"/>
                <w:sz w:val="22"/>
                <w:szCs w:val="22"/>
              </w:rPr>
              <w:t xml:space="preserve">, </w:t>
            </w:r>
            <w:r w:rsidRPr="5DDBBEA4">
              <w:rPr>
                <w:b w:val="0"/>
                <w:color w:val="auto"/>
                <w:sz w:val="22"/>
                <w:szCs w:val="22"/>
              </w:rPr>
              <w:t>Security</w:t>
            </w:r>
            <w:r w:rsidR="3D730A91" w:rsidRPr="5DDBBEA4">
              <w:rPr>
                <w:b w:val="0"/>
                <w:color w:val="auto"/>
                <w:sz w:val="22"/>
                <w:szCs w:val="22"/>
              </w:rPr>
              <w:t xml:space="preserve"> &amp; Governance</w:t>
            </w:r>
            <w:r w:rsidRPr="5DDBBEA4">
              <w:rPr>
                <w:b w:val="0"/>
                <w:color w:val="auto"/>
                <w:sz w:val="22"/>
                <w:szCs w:val="22"/>
              </w:rPr>
              <w:t xml:space="preserve"> Specialist</w:t>
            </w:r>
          </w:p>
        </w:tc>
        <w:tc>
          <w:tcPr>
            <w:tcW w:w="1564" w:type="dxa"/>
            <w:shd w:val="clear" w:color="auto" w:fill="auto"/>
          </w:tcPr>
          <w:p w14:paraId="73281A61" w14:textId="77777777" w:rsidR="005F5CC5" w:rsidRPr="00D46DD7" w:rsidRDefault="005F5CC5" w:rsidP="00D97C55">
            <w:pPr>
              <w:spacing w:before="0" w:after="0"/>
              <w:rPr>
                <w:color w:val="auto"/>
                <w:sz w:val="22"/>
                <w:szCs w:val="22"/>
              </w:rPr>
            </w:pPr>
            <w:r w:rsidRPr="00D46DD7">
              <w:rPr>
                <w:color w:val="auto"/>
                <w:sz w:val="22"/>
                <w:szCs w:val="22"/>
              </w:rPr>
              <w:t>Job family</w:t>
            </w:r>
          </w:p>
        </w:tc>
        <w:tc>
          <w:tcPr>
            <w:tcW w:w="3248" w:type="dxa"/>
            <w:shd w:val="clear" w:color="auto" w:fill="auto"/>
          </w:tcPr>
          <w:p w14:paraId="6488E389" w14:textId="474FFDEB" w:rsidR="005F5CC5" w:rsidRPr="00D46DD7" w:rsidRDefault="0033299D" w:rsidP="00D97C55">
            <w:pPr>
              <w:spacing w:before="0" w:after="0"/>
              <w:rPr>
                <w:b w:val="0"/>
                <w:bCs/>
                <w:color w:val="auto"/>
                <w:sz w:val="22"/>
                <w:szCs w:val="22"/>
              </w:rPr>
            </w:pPr>
            <w:r>
              <w:rPr>
                <w:b w:val="0"/>
                <w:bCs/>
                <w:color w:val="auto"/>
                <w:sz w:val="22"/>
                <w:szCs w:val="22"/>
              </w:rPr>
              <w:t>PreSales Team (Moorepay Sales)</w:t>
            </w:r>
          </w:p>
        </w:tc>
      </w:tr>
      <w:tr w:rsidR="0033299D" w:rsidRPr="00D46DD7" w14:paraId="1EF1956B" w14:textId="77777777" w:rsidTr="5DDBBEA4">
        <w:tc>
          <w:tcPr>
            <w:tcW w:w="1555" w:type="dxa"/>
            <w:shd w:val="clear" w:color="auto" w:fill="auto"/>
          </w:tcPr>
          <w:p w14:paraId="4B957279" w14:textId="77777777" w:rsidR="005F5CC5" w:rsidRPr="00D46DD7" w:rsidRDefault="005F5CC5" w:rsidP="00D97C55">
            <w:pPr>
              <w:spacing w:before="0" w:after="0"/>
              <w:rPr>
                <w:b/>
                <w:color w:val="auto"/>
                <w:sz w:val="22"/>
                <w:szCs w:val="22"/>
              </w:rPr>
            </w:pPr>
            <w:r w:rsidRPr="00D46DD7">
              <w:rPr>
                <w:b/>
                <w:color w:val="auto"/>
                <w:sz w:val="22"/>
                <w:szCs w:val="22"/>
              </w:rPr>
              <w:t>Grade</w:t>
            </w:r>
          </w:p>
        </w:tc>
        <w:tc>
          <w:tcPr>
            <w:tcW w:w="3255" w:type="dxa"/>
            <w:shd w:val="clear" w:color="auto" w:fill="auto"/>
          </w:tcPr>
          <w:p w14:paraId="3F557C46" w14:textId="77777777" w:rsidR="005F5CC5" w:rsidRPr="00D46DD7" w:rsidRDefault="005F5CC5" w:rsidP="00D97C55">
            <w:pPr>
              <w:spacing w:before="0" w:after="0"/>
              <w:rPr>
                <w:bCs/>
                <w:color w:val="auto"/>
                <w:sz w:val="22"/>
                <w:szCs w:val="22"/>
              </w:rPr>
            </w:pPr>
            <w:r w:rsidRPr="00D46DD7">
              <w:rPr>
                <w:bCs/>
                <w:color w:val="auto"/>
                <w:sz w:val="22"/>
                <w:szCs w:val="22"/>
              </w:rPr>
              <w:t>TBC</w:t>
            </w:r>
          </w:p>
        </w:tc>
        <w:tc>
          <w:tcPr>
            <w:tcW w:w="1564" w:type="dxa"/>
            <w:shd w:val="clear" w:color="auto" w:fill="auto"/>
          </w:tcPr>
          <w:p w14:paraId="4D8D6DFC" w14:textId="77777777" w:rsidR="005F5CC5" w:rsidRPr="00D46DD7" w:rsidRDefault="005F5CC5" w:rsidP="00D97C55">
            <w:pPr>
              <w:spacing w:before="0" w:after="0"/>
              <w:rPr>
                <w:b/>
                <w:color w:val="auto"/>
                <w:sz w:val="22"/>
                <w:szCs w:val="22"/>
              </w:rPr>
            </w:pPr>
            <w:r w:rsidRPr="00D46DD7">
              <w:rPr>
                <w:b/>
                <w:color w:val="auto"/>
                <w:sz w:val="22"/>
                <w:szCs w:val="22"/>
              </w:rPr>
              <w:t>Reports to</w:t>
            </w:r>
          </w:p>
        </w:tc>
        <w:tc>
          <w:tcPr>
            <w:tcW w:w="3248" w:type="dxa"/>
            <w:shd w:val="clear" w:color="auto" w:fill="auto"/>
          </w:tcPr>
          <w:p w14:paraId="45C12D3F" w14:textId="77777777" w:rsidR="005F5CC5" w:rsidRPr="00D46DD7" w:rsidRDefault="005F5CC5" w:rsidP="00D97C55">
            <w:pPr>
              <w:spacing w:before="0" w:after="0"/>
              <w:rPr>
                <w:bCs/>
                <w:color w:val="auto"/>
                <w:sz w:val="22"/>
                <w:szCs w:val="22"/>
              </w:rPr>
            </w:pPr>
            <w:r>
              <w:rPr>
                <w:bCs/>
                <w:color w:val="auto"/>
                <w:sz w:val="22"/>
                <w:szCs w:val="22"/>
              </w:rPr>
              <w:t>Strategic Sales Leader</w:t>
            </w:r>
          </w:p>
        </w:tc>
      </w:tr>
      <w:tr w:rsidR="0033299D" w:rsidRPr="00D46DD7" w14:paraId="756D3511" w14:textId="77777777" w:rsidTr="5DDBBEA4">
        <w:tc>
          <w:tcPr>
            <w:tcW w:w="1555" w:type="dxa"/>
            <w:shd w:val="clear" w:color="auto" w:fill="auto"/>
          </w:tcPr>
          <w:p w14:paraId="34FDE0F2" w14:textId="77777777" w:rsidR="005F5CC5" w:rsidRPr="00D46DD7" w:rsidRDefault="005F5CC5" w:rsidP="00D97C55">
            <w:pPr>
              <w:spacing w:before="0" w:after="0"/>
              <w:rPr>
                <w:b/>
                <w:color w:val="auto"/>
                <w:sz w:val="22"/>
                <w:szCs w:val="22"/>
              </w:rPr>
            </w:pPr>
            <w:r w:rsidRPr="00D46DD7">
              <w:rPr>
                <w:b/>
                <w:color w:val="auto"/>
                <w:sz w:val="22"/>
                <w:szCs w:val="22"/>
              </w:rPr>
              <w:t>Location</w:t>
            </w:r>
          </w:p>
        </w:tc>
        <w:tc>
          <w:tcPr>
            <w:tcW w:w="3255" w:type="dxa"/>
            <w:shd w:val="clear" w:color="auto" w:fill="auto"/>
          </w:tcPr>
          <w:p w14:paraId="0AAB6ACD" w14:textId="77777777" w:rsidR="005F5CC5" w:rsidRPr="00D46DD7" w:rsidRDefault="005F5CC5" w:rsidP="00D97C55">
            <w:pPr>
              <w:spacing w:before="0" w:after="0"/>
              <w:rPr>
                <w:bCs/>
                <w:color w:val="auto"/>
                <w:sz w:val="22"/>
                <w:szCs w:val="22"/>
              </w:rPr>
            </w:pPr>
            <w:r w:rsidRPr="00D46DD7">
              <w:rPr>
                <w:bCs/>
                <w:color w:val="auto"/>
                <w:sz w:val="22"/>
                <w:szCs w:val="22"/>
              </w:rPr>
              <w:t xml:space="preserve">Hybrid - </w:t>
            </w:r>
            <w:r>
              <w:rPr>
                <w:bCs/>
                <w:color w:val="auto"/>
                <w:sz w:val="22"/>
                <w:szCs w:val="22"/>
              </w:rPr>
              <w:t>Swinton</w:t>
            </w:r>
          </w:p>
        </w:tc>
        <w:tc>
          <w:tcPr>
            <w:tcW w:w="1564" w:type="dxa"/>
            <w:shd w:val="clear" w:color="auto" w:fill="auto"/>
          </w:tcPr>
          <w:p w14:paraId="6D2CE781" w14:textId="77777777" w:rsidR="005F5CC5" w:rsidRPr="00D46DD7" w:rsidRDefault="005F5CC5" w:rsidP="00D97C55">
            <w:pPr>
              <w:spacing w:before="0" w:after="0"/>
              <w:rPr>
                <w:b/>
                <w:color w:val="auto"/>
                <w:sz w:val="22"/>
                <w:szCs w:val="22"/>
              </w:rPr>
            </w:pPr>
            <w:r w:rsidRPr="00D46DD7">
              <w:rPr>
                <w:b/>
                <w:color w:val="auto"/>
                <w:sz w:val="22"/>
                <w:szCs w:val="22"/>
              </w:rPr>
              <w:t>Team size</w:t>
            </w:r>
          </w:p>
        </w:tc>
        <w:tc>
          <w:tcPr>
            <w:tcW w:w="3248" w:type="dxa"/>
            <w:shd w:val="clear" w:color="auto" w:fill="auto"/>
          </w:tcPr>
          <w:p w14:paraId="6EBA2012" w14:textId="77777777" w:rsidR="005F5CC5" w:rsidRPr="00D46DD7" w:rsidRDefault="005F5CC5" w:rsidP="00D97C55">
            <w:pPr>
              <w:spacing w:before="0" w:after="0"/>
              <w:rPr>
                <w:bCs/>
                <w:color w:val="auto"/>
                <w:sz w:val="22"/>
                <w:szCs w:val="22"/>
              </w:rPr>
            </w:pPr>
            <w:r>
              <w:rPr>
                <w:bCs/>
                <w:color w:val="auto"/>
                <w:sz w:val="22"/>
                <w:szCs w:val="22"/>
              </w:rPr>
              <w:t>NA</w:t>
            </w:r>
          </w:p>
        </w:tc>
      </w:tr>
    </w:tbl>
    <w:p w14:paraId="7999C7FB" w14:textId="77777777" w:rsidR="005F5CC5" w:rsidRDefault="005F5CC5" w:rsidP="005F5CC5">
      <w:pPr>
        <w:spacing w:before="0" w:after="0"/>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5F5CC5" w:rsidRPr="00D46DD7" w14:paraId="78CB82D9" w14:textId="77777777" w:rsidTr="00D97C55">
        <w:trPr>
          <w:cnfStyle w:val="100000000000" w:firstRow="1" w:lastRow="0" w:firstColumn="0" w:lastColumn="0" w:oddVBand="0" w:evenVBand="0" w:oddHBand="0" w:evenHBand="0" w:firstRowFirstColumn="0" w:firstRowLastColumn="0" w:lastRowFirstColumn="0" w:lastRowLastColumn="0"/>
        </w:trPr>
        <w:tc>
          <w:tcPr>
            <w:tcW w:w="9622" w:type="dxa"/>
            <w:shd w:val="clear" w:color="auto" w:fill="auto"/>
          </w:tcPr>
          <w:p w14:paraId="1B99DD4D" w14:textId="77777777" w:rsidR="005F5CC5" w:rsidRPr="00D46DD7" w:rsidRDefault="005F5CC5" w:rsidP="00D97C55">
            <w:pPr>
              <w:spacing w:before="0" w:after="0"/>
              <w:rPr>
                <w:color w:val="auto"/>
                <w:sz w:val="22"/>
                <w:szCs w:val="22"/>
              </w:rPr>
            </w:pPr>
            <w:r w:rsidRPr="00D46DD7">
              <w:rPr>
                <w:color w:val="auto"/>
                <w:sz w:val="22"/>
                <w:szCs w:val="22"/>
              </w:rPr>
              <w:t>About the role:</w:t>
            </w:r>
          </w:p>
        </w:tc>
      </w:tr>
      <w:tr w:rsidR="005F5CC5" w:rsidRPr="00D46DD7" w14:paraId="517D2990" w14:textId="77777777" w:rsidTr="00D97C55">
        <w:tc>
          <w:tcPr>
            <w:tcW w:w="9622" w:type="dxa"/>
            <w:shd w:val="clear" w:color="auto" w:fill="auto"/>
          </w:tcPr>
          <w:p w14:paraId="3267C1A8" w14:textId="77777777" w:rsidR="005F5CC5" w:rsidRPr="00161E79" w:rsidRDefault="005F5CC5" w:rsidP="00D97C55">
            <w:pPr>
              <w:spacing w:before="0" w:line="259" w:lineRule="auto"/>
            </w:pPr>
            <w:r>
              <w:t>W</w:t>
            </w:r>
            <w:r w:rsidRPr="00DA6EFC">
              <w:t>ork</w:t>
            </w:r>
            <w:r>
              <w:t>ing</w:t>
            </w:r>
            <w:r w:rsidRPr="00DA6EFC">
              <w:t xml:space="preserve"> closely with our sales team and cross-functional departments to ensure our clients receive accurate, trustworthy, and transparent information about Moorepay’s governance, risk, and compliance posture.</w:t>
            </w:r>
          </w:p>
        </w:tc>
      </w:tr>
      <w:tr w:rsidR="005F5CC5" w:rsidRPr="00D46DD7" w14:paraId="0FD9C9A8" w14:textId="77777777" w:rsidTr="00D97C55">
        <w:tc>
          <w:tcPr>
            <w:tcW w:w="9622" w:type="dxa"/>
            <w:shd w:val="clear" w:color="auto" w:fill="auto"/>
          </w:tcPr>
          <w:p w14:paraId="49B069DB" w14:textId="77777777" w:rsidR="005F5CC5" w:rsidRPr="00D46DD7" w:rsidRDefault="005F5CC5" w:rsidP="00D97C55">
            <w:pPr>
              <w:spacing w:before="0" w:after="0"/>
              <w:rPr>
                <w:b/>
                <w:bCs/>
                <w:color w:val="auto"/>
                <w:sz w:val="22"/>
                <w:szCs w:val="22"/>
              </w:rPr>
            </w:pPr>
            <w:r w:rsidRPr="00D46DD7">
              <w:rPr>
                <w:b/>
                <w:bCs/>
                <w:color w:val="auto"/>
                <w:sz w:val="22"/>
                <w:szCs w:val="22"/>
              </w:rPr>
              <w:t xml:space="preserve">Role </w:t>
            </w:r>
            <w:r>
              <w:rPr>
                <w:b/>
                <w:bCs/>
                <w:color w:val="auto"/>
                <w:sz w:val="22"/>
                <w:szCs w:val="22"/>
              </w:rPr>
              <w:t>a</w:t>
            </w:r>
            <w:r w:rsidRPr="00D46DD7">
              <w:rPr>
                <w:b/>
                <w:bCs/>
                <w:color w:val="auto"/>
                <w:sz w:val="22"/>
                <w:szCs w:val="22"/>
              </w:rPr>
              <w:t>ccountabilities and responsibilities:</w:t>
            </w:r>
          </w:p>
        </w:tc>
      </w:tr>
      <w:tr w:rsidR="005F5CC5" w:rsidRPr="00D46DD7" w14:paraId="46BB8606" w14:textId="77777777" w:rsidTr="00D97C55">
        <w:tc>
          <w:tcPr>
            <w:tcW w:w="9622" w:type="dxa"/>
            <w:shd w:val="clear" w:color="auto" w:fill="auto"/>
          </w:tcPr>
          <w:p w14:paraId="3119F65E" w14:textId="77777777" w:rsidR="005F5CC5" w:rsidRPr="00DA6EFC" w:rsidRDefault="005F5CC5" w:rsidP="00D97C55">
            <w:pPr>
              <w:spacing w:before="0" w:line="259" w:lineRule="auto"/>
              <w:rPr>
                <w:b/>
                <w:bCs/>
              </w:rPr>
            </w:pPr>
            <w:r w:rsidRPr="00DA6EFC">
              <w:rPr>
                <w:b/>
                <w:bCs/>
              </w:rPr>
              <w:t>Key Responsibilities</w:t>
            </w:r>
          </w:p>
          <w:p w14:paraId="4C0D40CD" w14:textId="77777777" w:rsidR="005F5CC5" w:rsidRPr="00DA6EFC" w:rsidRDefault="005F5CC5" w:rsidP="005F5CC5">
            <w:pPr>
              <w:numPr>
                <w:ilvl w:val="0"/>
                <w:numId w:val="1"/>
              </w:numPr>
              <w:spacing w:before="0" w:line="259" w:lineRule="auto"/>
            </w:pPr>
            <w:r w:rsidRPr="00DA6EFC">
              <w:t>Serve as the primary contact for all security, compliance, and data-related queries during the sales cycle</w:t>
            </w:r>
          </w:p>
          <w:p w14:paraId="337BCB58" w14:textId="77777777" w:rsidR="005F5CC5" w:rsidRPr="00DA6EFC" w:rsidRDefault="005F5CC5" w:rsidP="005F5CC5">
            <w:pPr>
              <w:numPr>
                <w:ilvl w:val="0"/>
                <w:numId w:val="1"/>
              </w:numPr>
              <w:spacing w:before="0" w:line="259" w:lineRule="auto"/>
            </w:pPr>
            <w:r w:rsidRPr="00DA6EFC">
              <w:t>Collaborate with the sales team to support customer engagements with deep expertise in GRC (Governance, Risk, and Compliance)</w:t>
            </w:r>
          </w:p>
          <w:p w14:paraId="2F34C4C3" w14:textId="77777777" w:rsidR="005F5CC5" w:rsidRPr="00DA6EFC" w:rsidRDefault="005F5CC5" w:rsidP="005F5CC5">
            <w:pPr>
              <w:numPr>
                <w:ilvl w:val="0"/>
                <w:numId w:val="1"/>
              </w:numPr>
              <w:spacing w:before="0" w:line="259" w:lineRule="auto"/>
            </w:pPr>
            <w:r w:rsidRPr="00DA6EFC">
              <w:t>Represent Moorepay and Zellis strengths in accreditations, ESG, disaster recovery, and business continuity during client interactions</w:t>
            </w:r>
          </w:p>
          <w:p w14:paraId="166D45DC" w14:textId="77777777" w:rsidR="005F5CC5" w:rsidRPr="00DA6EFC" w:rsidRDefault="005F5CC5" w:rsidP="005F5CC5">
            <w:pPr>
              <w:numPr>
                <w:ilvl w:val="0"/>
                <w:numId w:val="1"/>
              </w:numPr>
              <w:spacing w:before="0" w:line="259" w:lineRule="auto"/>
            </w:pPr>
            <w:r w:rsidRPr="00DA6EFC">
              <w:t>Own and complete RFPs, ensuring responses reflect Moorepay’s robust security and compliance standards</w:t>
            </w:r>
          </w:p>
          <w:p w14:paraId="791DB44D" w14:textId="77777777" w:rsidR="005F5CC5" w:rsidRPr="00DA6EFC" w:rsidRDefault="005F5CC5" w:rsidP="005F5CC5">
            <w:pPr>
              <w:numPr>
                <w:ilvl w:val="0"/>
                <w:numId w:val="1"/>
              </w:numPr>
              <w:spacing w:before="0" w:line="259" w:lineRule="auto"/>
            </w:pPr>
            <w:r w:rsidRPr="00DA6EFC">
              <w:t>Attend client meetings to provide technical assurance and build trust in Moorepay’s solutions</w:t>
            </w:r>
          </w:p>
          <w:p w14:paraId="039AF4B3" w14:textId="77777777" w:rsidR="005F5CC5" w:rsidRPr="00DA6EFC" w:rsidRDefault="005F5CC5" w:rsidP="005F5CC5">
            <w:pPr>
              <w:numPr>
                <w:ilvl w:val="0"/>
                <w:numId w:val="1"/>
              </w:numPr>
              <w:spacing w:before="0" w:line="259" w:lineRule="auto"/>
            </w:pPr>
            <w:r w:rsidRPr="00DA6EFC">
              <w:t>Translate complex compliance and security frameworks into clear, customer-friendly language</w:t>
            </w:r>
          </w:p>
          <w:p w14:paraId="6AAA1AEA" w14:textId="77777777" w:rsidR="005F5CC5" w:rsidRPr="00DA6EFC" w:rsidRDefault="005F5CC5" w:rsidP="005F5CC5">
            <w:pPr>
              <w:numPr>
                <w:ilvl w:val="0"/>
                <w:numId w:val="1"/>
              </w:numPr>
              <w:spacing w:before="0" w:line="259" w:lineRule="auto"/>
            </w:pPr>
            <w:r w:rsidRPr="00DA6EFC">
              <w:t>Stay current with industry standards, certifications, and regulatory requirements relevant to Moorepay’s offerings</w:t>
            </w:r>
          </w:p>
          <w:p w14:paraId="1AD78370" w14:textId="77777777" w:rsidR="005F5CC5" w:rsidRPr="00DA6EFC" w:rsidRDefault="005F5CC5" w:rsidP="005F5CC5">
            <w:pPr>
              <w:numPr>
                <w:ilvl w:val="0"/>
                <w:numId w:val="1"/>
              </w:numPr>
              <w:spacing w:before="0" w:line="259" w:lineRule="auto"/>
            </w:pPr>
            <w:r w:rsidRPr="00DA6EFC">
              <w:t>Work cross-functionally with Legal, InfoSec, and Product teams to ensure alignment in customer-facing materials</w:t>
            </w:r>
          </w:p>
          <w:p w14:paraId="58DA1FE6" w14:textId="77777777" w:rsidR="005F5CC5" w:rsidRPr="00DA6EFC" w:rsidRDefault="005F5CC5" w:rsidP="005F5CC5">
            <w:pPr>
              <w:numPr>
                <w:ilvl w:val="0"/>
                <w:numId w:val="1"/>
              </w:numPr>
              <w:spacing w:before="0" w:line="259" w:lineRule="auto"/>
            </w:pPr>
            <w:r w:rsidRPr="00DA6EFC">
              <w:t>Proactively improve sales enablement through documentation, FAQs, and training on compliance topics</w:t>
            </w:r>
          </w:p>
          <w:p w14:paraId="4306ADF2" w14:textId="77777777" w:rsidR="005F5CC5" w:rsidRPr="00DA6EFC" w:rsidRDefault="005F5CC5" w:rsidP="005F5CC5">
            <w:pPr>
              <w:numPr>
                <w:ilvl w:val="0"/>
                <w:numId w:val="1"/>
              </w:numPr>
              <w:spacing w:before="0" w:line="259" w:lineRule="auto"/>
            </w:pPr>
            <w:r w:rsidRPr="00DA6EFC">
              <w:t>Champion ethical governance and sustainable practices in all sales engagements</w:t>
            </w:r>
          </w:p>
          <w:p w14:paraId="724BEC43" w14:textId="77777777" w:rsidR="005F5CC5" w:rsidRPr="00DA6EFC" w:rsidRDefault="005F5CC5" w:rsidP="00D97C55">
            <w:pPr>
              <w:spacing w:before="0" w:line="259" w:lineRule="auto"/>
              <w:rPr>
                <w:b/>
                <w:bCs/>
              </w:rPr>
            </w:pPr>
            <w:r w:rsidRPr="00DA6EFC">
              <w:rPr>
                <w:b/>
                <w:bCs/>
              </w:rPr>
              <w:t>Skills &amp; Experience</w:t>
            </w:r>
          </w:p>
          <w:p w14:paraId="65B3ADE4" w14:textId="77777777" w:rsidR="005F5CC5" w:rsidRPr="00DA6EFC" w:rsidRDefault="005F5CC5" w:rsidP="005F5CC5">
            <w:pPr>
              <w:numPr>
                <w:ilvl w:val="0"/>
                <w:numId w:val="2"/>
              </w:numPr>
              <w:spacing w:before="0" w:line="259" w:lineRule="auto"/>
            </w:pPr>
            <w:r w:rsidRPr="00DA6EFC">
              <w:t>Strong understanding of compliance frameworks (e.g. ISO 27001, GDPR, SOC 2) and risk management principles</w:t>
            </w:r>
          </w:p>
          <w:p w14:paraId="3922DEDE" w14:textId="77777777" w:rsidR="005F5CC5" w:rsidRPr="00DA6EFC" w:rsidRDefault="005F5CC5" w:rsidP="005F5CC5">
            <w:pPr>
              <w:numPr>
                <w:ilvl w:val="0"/>
                <w:numId w:val="2"/>
              </w:numPr>
              <w:spacing w:before="0" w:line="259" w:lineRule="auto"/>
            </w:pPr>
            <w:r w:rsidRPr="00DA6EFC">
              <w:t>Experience supporting sales teams in a technical or compliance-focused capacity</w:t>
            </w:r>
          </w:p>
          <w:p w14:paraId="09CCB8BA" w14:textId="77777777" w:rsidR="005F5CC5" w:rsidRPr="00DA6EFC" w:rsidRDefault="005F5CC5" w:rsidP="005F5CC5">
            <w:pPr>
              <w:numPr>
                <w:ilvl w:val="0"/>
                <w:numId w:val="2"/>
              </w:numPr>
              <w:spacing w:before="0" w:line="259" w:lineRule="auto"/>
            </w:pPr>
            <w:r w:rsidRPr="00DA6EFC">
              <w:t>Proven ability to complete RFPs and security questionnaires with precision and clarity</w:t>
            </w:r>
          </w:p>
          <w:p w14:paraId="0DD77564" w14:textId="77777777" w:rsidR="005F5CC5" w:rsidRPr="00DA6EFC" w:rsidRDefault="005F5CC5" w:rsidP="005F5CC5">
            <w:pPr>
              <w:numPr>
                <w:ilvl w:val="0"/>
                <w:numId w:val="2"/>
              </w:numPr>
              <w:spacing w:before="0" w:line="259" w:lineRule="auto"/>
            </w:pPr>
            <w:r w:rsidRPr="00DA6EFC">
              <w:lastRenderedPageBreak/>
              <w:t>Excellent written and verbal communication skills, especially in translating technical content for non-technical audiences</w:t>
            </w:r>
          </w:p>
          <w:p w14:paraId="1DBF2B30" w14:textId="77777777" w:rsidR="005F5CC5" w:rsidRPr="00DA6EFC" w:rsidRDefault="005F5CC5" w:rsidP="005F5CC5">
            <w:pPr>
              <w:numPr>
                <w:ilvl w:val="0"/>
                <w:numId w:val="2"/>
              </w:numPr>
              <w:spacing w:before="0" w:line="259" w:lineRule="auto"/>
            </w:pPr>
            <w:r w:rsidRPr="00DA6EFC">
              <w:t>Familiarity with ESG principles and business continuity planning</w:t>
            </w:r>
          </w:p>
          <w:p w14:paraId="49E88A35" w14:textId="77777777" w:rsidR="005F5CC5" w:rsidRPr="00DA6EFC" w:rsidRDefault="005F5CC5" w:rsidP="005F5CC5">
            <w:pPr>
              <w:numPr>
                <w:ilvl w:val="0"/>
                <w:numId w:val="2"/>
              </w:numPr>
              <w:spacing w:before="0" w:line="259" w:lineRule="auto"/>
            </w:pPr>
            <w:r w:rsidRPr="00DA6EFC">
              <w:t>Ability to manage multiple priorities and work collaboratively across departments</w:t>
            </w:r>
          </w:p>
          <w:p w14:paraId="790AEED0" w14:textId="77777777" w:rsidR="005F5CC5" w:rsidRPr="00DA6EFC" w:rsidRDefault="005F5CC5" w:rsidP="00D97C55">
            <w:pPr>
              <w:spacing w:before="0" w:line="259" w:lineRule="auto"/>
              <w:rPr>
                <w:b/>
                <w:bCs/>
              </w:rPr>
            </w:pPr>
            <w:r>
              <w:rPr>
                <w:b/>
                <w:bCs/>
              </w:rPr>
              <w:t>Critical Competencies</w:t>
            </w:r>
          </w:p>
          <w:p w14:paraId="3378A06B" w14:textId="77777777" w:rsidR="005F5CC5" w:rsidRPr="00DA6EFC" w:rsidRDefault="005F5CC5" w:rsidP="005F5CC5">
            <w:pPr>
              <w:numPr>
                <w:ilvl w:val="0"/>
                <w:numId w:val="3"/>
              </w:numPr>
              <w:spacing w:before="0" w:line="259" w:lineRule="auto"/>
            </w:pPr>
            <w:r w:rsidRPr="00DA6EFC">
              <w:rPr>
                <w:b/>
                <w:bCs/>
              </w:rPr>
              <w:t>Credible &amp; Confident:</w:t>
            </w:r>
            <w:r w:rsidRPr="00DA6EFC">
              <w:t xml:space="preserve"> Able to speak with authority in client meetings and instill trust</w:t>
            </w:r>
          </w:p>
          <w:p w14:paraId="35AEF047" w14:textId="77777777" w:rsidR="005F5CC5" w:rsidRPr="00DA6EFC" w:rsidRDefault="005F5CC5" w:rsidP="005F5CC5">
            <w:pPr>
              <w:numPr>
                <w:ilvl w:val="0"/>
                <w:numId w:val="3"/>
              </w:numPr>
              <w:spacing w:before="0" w:line="259" w:lineRule="auto"/>
            </w:pPr>
            <w:r w:rsidRPr="00DA6EFC">
              <w:rPr>
                <w:b/>
                <w:bCs/>
              </w:rPr>
              <w:t>Detail-Oriented:</w:t>
            </w:r>
            <w:r w:rsidRPr="00DA6EFC">
              <w:t xml:space="preserve"> Meticulous in documentation and communication</w:t>
            </w:r>
          </w:p>
          <w:p w14:paraId="1344B19B" w14:textId="77777777" w:rsidR="005F5CC5" w:rsidRPr="00DA6EFC" w:rsidRDefault="005F5CC5" w:rsidP="005F5CC5">
            <w:pPr>
              <w:numPr>
                <w:ilvl w:val="0"/>
                <w:numId w:val="3"/>
              </w:numPr>
              <w:spacing w:before="0" w:line="259" w:lineRule="auto"/>
            </w:pPr>
            <w:r w:rsidRPr="00DA6EFC">
              <w:rPr>
                <w:b/>
                <w:bCs/>
              </w:rPr>
              <w:t>Proactive:</w:t>
            </w:r>
            <w:r w:rsidRPr="00DA6EFC">
              <w:t xml:space="preserve"> Always looking for ways to improve processes and enable the sales team</w:t>
            </w:r>
          </w:p>
          <w:p w14:paraId="4D5E4AAB" w14:textId="77777777" w:rsidR="005F5CC5" w:rsidRPr="00DA6EFC" w:rsidRDefault="005F5CC5" w:rsidP="005F5CC5">
            <w:pPr>
              <w:numPr>
                <w:ilvl w:val="0"/>
                <w:numId w:val="3"/>
              </w:numPr>
              <w:spacing w:before="0" w:line="259" w:lineRule="auto"/>
            </w:pPr>
            <w:r w:rsidRPr="00DA6EFC">
              <w:rPr>
                <w:b/>
                <w:bCs/>
              </w:rPr>
              <w:t>Ethical &amp; Principled:</w:t>
            </w:r>
            <w:r w:rsidRPr="00DA6EFC">
              <w:t xml:space="preserve"> Committed to upholding Moorepay’s values in governance and sustainability</w:t>
            </w:r>
          </w:p>
          <w:p w14:paraId="35636746" w14:textId="77777777" w:rsidR="005F5CC5" w:rsidRPr="00DA6EFC" w:rsidRDefault="005F5CC5" w:rsidP="005F5CC5">
            <w:pPr>
              <w:numPr>
                <w:ilvl w:val="0"/>
                <w:numId w:val="3"/>
              </w:numPr>
              <w:spacing w:before="0" w:line="259" w:lineRule="auto"/>
            </w:pPr>
            <w:r w:rsidRPr="00DA6EFC">
              <w:rPr>
                <w:b/>
                <w:bCs/>
              </w:rPr>
              <w:t>Collaborative:</w:t>
            </w:r>
            <w:r w:rsidRPr="00DA6EFC">
              <w:t xml:space="preserve"> Works well with diverse teams and stakeholders</w:t>
            </w:r>
          </w:p>
          <w:p w14:paraId="417DCA83" w14:textId="77777777" w:rsidR="005F5CC5" w:rsidRDefault="005F5CC5" w:rsidP="005F5CC5">
            <w:pPr>
              <w:numPr>
                <w:ilvl w:val="0"/>
                <w:numId w:val="3"/>
              </w:numPr>
              <w:spacing w:before="0" w:line="259" w:lineRule="auto"/>
            </w:pPr>
            <w:r w:rsidRPr="00DA6EFC">
              <w:rPr>
                <w:b/>
                <w:bCs/>
              </w:rPr>
              <w:t>Adaptable:</w:t>
            </w:r>
            <w:r w:rsidRPr="00DA6EFC">
              <w:t xml:space="preserve"> Comfortable navigating complex and evolving compliance landscapes</w:t>
            </w:r>
          </w:p>
          <w:p w14:paraId="11CED484" w14:textId="77777777" w:rsidR="005F5CC5" w:rsidRPr="001F2B41" w:rsidRDefault="005F5CC5" w:rsidP="005F5CC5">
            <w:pPr>
              <w:numPr>
                <w:ilvl w:val="0"/>
                <w:numId w:val="3"/>
              </w:numPr>
              <w:spacing w:before="0" w:line="259" w:lineRule="auto"/>
            </w:pPr>
            <w:r>
              <w:rPr>
                <w:b/>
                <w:bCs/>
              </w:rPr>
              <w:t>Resilient:</w:t>
            </w:r>
            <w:r>
              <w:t xml:space="preserve"> Working under pressure to tight timelines</w:t>
            </w:r>
          </w:p>
        </w:tc>
      </w:tr>
      <w:tr w:rsidR="005F5CC5" w:rsidRPr="00D46DD7" w14:paraId="6D66369E" w14:textId="77777777" w:rsidTr="00D97C55">
        <w:tc>
          <w:tcPr>
            <w:tcW w:w="9622" w:type="dxa"/>
            <w:shd w:val="clear" w:color="auto" w:fill="auto"/>
          </w:tcPr>
          <w:p w14:paraId="23116541" w14:textId="77777777" w:rsidR="005F5CC5" w:rsidRPr="00D46DD7" w:rsidRDefault="005F5CC5" w:rsidP="00D97C55">
            <w:pPr>
              <w:tabs>
                <w:tab w:val="left" w:pos="4277"/>
              </w:tabs>
              <w:spacing w:before="0" w:after="0"/>
              <w:rPr>
                <w:b/>
                <w:bCs/>
                <w:color w:val="auto"/>
                <w:sz w:val="22"/>
                <w:szCs w:val="22"/>
              </w:rPr>
            </w:pPr>
            <w:r w:rsidRPr="00D46DD7">
              <w:rPr>
                <w:rFonts w:cs="Open Sans"/>
                <w:b/>
                <w:bCs/>
                <w:color w:val="auto"/>
                <w:sz w:val="22"/>
                <w:szCs w:val="22"/>
              </w:rPr>
              <w:lastRenderedPageBreak/>
              <w:t xml:space="preserve">Special </w:t>
            </w:r>
            <w:r>
              <w:rPr>
                <w:rFonts w:cs="Open Sans"/>
                <w:b/>
                <w:bCs/>
                <w:color w:val="auto"/>
                <w:sz w:val="22"/>
                <w:szCs w:val="22"/>
              </w:rPr>
              <w:t>c</w:t>
            </w:r>
            <w:r w:rsidRPr="00D46DD7">
              <w:rPr>
                <w:rFonts w:cs="Open Sans"/>
                <w:b/>
                <w:bCs/>
                <w:color w:val="auto"/>
                <w:sz w:val="22"/>
                <w:szCs w:val="22"/>
              </w:rPr>
              <w:t xml:space="preserve">ircumstances / Other </w:t>
            </w:r>
            <w:r>
              <w:rPr>
                <w:rFonts w:cs="Open Sans"/>
                <w:b/>
                <w:bCs/>
                <w:color w:val="auto"/>
                <w:sz w:val="22"/>
                <w:szCs w:val="22"/>
              </w:rPr>
              <w:t>r</w:t>
            </w:r>
            <w:r w:rsidRPr="00D46DD7">
              <w:rPr>
                <w:rFonts w:cs="Open Sans"/>
                <w:b/>
                <w:bCs/>
                <w:color w:val="auto"/>
                <w:sz w:val="22"/>
                <w:szCs w:val="22"/>
              </w:rPr>
              <w:t>equirements e.g. travel requirements, working arrangements etc</w:t>
            </w:r>
          </w:p>
        </w:tc>
      </w:tr>
      <w:tr w:rsidR="005F5CC5" w:rsidRPr="00D46DD7" w14:paraId="16F3E795" w14:textId="77777777" w:rsidTr="00D97C55">
        <w:tc>
          <w:tcPr>
            <w:tcW w:w="9622" w:type="dxa"/>
            <w:shd w:val="clear" w:color="auto" w:fill="auto"/>
          </w:tcPr>
          <w:p w14:paraId="054A3A99" w14:textId="77777777" w:rsidR="005F5CC5" w:rsidRPr="00014C69" w:rsidRDefault="005F5CC5" w:rsidP="00D97C55">
            <w:pPr>
              <w:spacing w:before="0" w:after="0"/>
              <w:rPr>
                <w:color w:val="auto"/>
              </w:rPr>
            </w:pPr>
            <w:r w:rsidRPr="00014C69">
              <w:rPr>
                <w:color w:val="auto"/>
              </w:rPr>
              <w:t>This is a customer facing role so some flexibility will be required around working hours and potential overnight stays</w:t>
            </w:r>
          </w:p>
          <w:p w14:paraId="0BB6A1FA" w14:textId="77777777" w:rsidR="005F5CC5" w:rsidRDefault="005F5CC5" w:rsidP="00D97C55">
            <w:pPr>
              <w:spacing w:before="0" w:after="0"/>
              <w:rPr>
                <w:color w:val="auto"/>
                <w:sz w:val="22"/>
                <w:szCs w:val="22"/>
              </w:rPr>
            </w:pPr>
          </w:p>
          <w:p w14:paraId="7870B59B" w14:textId="77777777" w:rsidR="005F5CC5" w:rsidRPr="00D46DD7" w:rsidRDefault="005F5CC5" w:rsidP="00D97C55">
            <w:pPr>
              <w:spacing w:before="0" w:after="0"/>
              <w:rPr>
                <w:color w:val="auto"/>
                <w:sz w:val="22"/>
                <w:szCs w:val="22"/>
              </w:rPr>
            </w:pPr>
          </w:p>
        </w:tc>
      </w:tr>
    </w:tbl>
    <w:p w14:paraId="260804BD" w14:textId="77777777" w:rsidR="005F5CC5" w:rsidRPr="004D6128" w:rsidRDefault="005F5CC5" w:rsidP="005F5CC5">
      <w:pPr>
        <w:spacing w:before="0" w:after="0"/>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5F5CC5" w:rsidRPr="00083FFF" w14:paraId="5763911D" w14:textId="77777777" w:rsidTr="00D97C55">
        <w:trPr>
          <w:cnfStyle w:val="100000000000" w:firstRow="1" w:lastRow="0" w:firstColumn="0" w:lastColumn="0" w:oddVBand="0" w:evenVBand="0" w:oddHBand="0" w:evenHBand="0" w:firstRowFirstColumn="0" w:firstRowLastColumn="0" w:lastRowFirstColumn="0" w:lastRowLastColumn="0"/>
        </w:trPr>
        <w:tc>
          <w:tcPr>
            <w:tcW w:w="9622" w:type="dxa"/>
            <w:shd w:val="clear" w:color="auto" w:fill="auto"/>
          </w:tcPr>
          <w:p w14:paraId="1CAA96B0" w14:textId="77777777" w:rsidR="005F5CC5" w:rsidRPr="00083FFF" w:rsidRDefault="005F5CC5" w:rsidP="00D97C55">
            <w:pPr>
              <w:spacing w:before="0" w:after="0" w:line="240" w:lineRule="auto"/>
              <w:rPr>
                <w:rFonts w:asciiTheme="minorHAnsi" w:hAnsiTheme="minorHAnsi" w:cstheme="minorHAnsi"/>
                <w:color w:val="auto"/>
                <w:sz w:val="22"/>
                <w:szCs w:val="22"/>
                <w:lang w:val="en-US"/>
              </w:rPr>
            </w:pPr>
            <w:r w:rsidRPr="00083FFF">
              <w:rPr>
                <w:rFonts w:asciiTheme="minorHAnsi" w:hAnsiTheme="minorHAnsi" w:cstheme="minorHAnsi"/>
                <w:color w:val="auto"/>
                <w:sz w:val="22"/>
                <w:szCs w:val="22"/>
                <w:lang w:val="en-US"/>
              </w:rPr>
              <w:t>About Zellis</w:t>
            </w:r>
            <w:r>
              <w:rPr>
                <w:rFonts w:asciiTheme="minorHAnsi" w:hAnsiTheme="minorHAnsi" w:cstheme="minorHAnsi"/>
                <w:color w:val="auto"/>
                <w:sz w:val="22"/>
                <w:szCs w:val="22"/>
                <w:lang w:val="en-US"/>
              </w:rPr>
              <w:t xml:space="preserve"> Group</w:t>
            </w:r>
          </w:p>
        </w:tc>
      </w:tr>
      <w:tr w:rsidR="005F5CC5" w:rsidRPr="00083FFF" w14:paraId="6F1702D1" w14:textId="77777777" w:rsidTr="00D97C55">
        <w:tc>
          <w:tcPr>
            <w:tcW w:w="9622" w:type="dxa"/>
            <w:shd w:val="clear" w:color="auto" w:fill="auto"/>
          </w:tcPr>
          <w:p w14:paraId="21C2E1B3" w14:textId="77777777" w:rsidR="005F5CC5" w:rsidRPr="00997043" w:rsidRDefault="005F5CC5" w:rsidP="00D97C55">
            <w:pPr>
              <w:pStyle w:val="NormalWeb"/>
              <w:spacing w:before="0" w:after="0"/>
              <w:rPr>
                <w:rFonts w:ascii="Open Sans" w:hAnsi="Open Sans" w:cs="Open Sans"/>
                <w:bCs/>
                <w:sz w:val="22"/>
                <w:szCs w:val="22"/>
              </w:rPr>
            </w:pPr>
            <w:r w:rsidRPr="00997043">
              <w:rPr>
                <w:rFonts w:ascii="Open Sans" w:hAnsi="Open Sans" w:cs="Open Sans"/>
                <w:sz w:val="22"/>
                <w:szCs w:val="22"/>
              </w:rPr>
              <w:t>We are Zellis Group. The UK and Ireland’s leading provider of pay, reward, analytics and people experiences.</w:t>
            </w:r>
          </w:p>
          <w:p w14:paraId="4C59538A" w14:textId="77777777" w:rsidR="005F5CC5" w:rsidRPr="00997043" w:rsidRDefault="005F5CC5" w:rsidP="00D97C55">
            <w:pPr>
              <w:pStyle w:val="NormalWeb"/>
              <w:spacing w:before="0" w:after="0"/>
              <w:rPr>
                <w:rFonts w:ascii="Open Sans" w:hAnsi="Open Sans" w:cs="Open Sans"/>
                <w:sz w:val="22"/>
                <w:szCs w:val="22"/>
              </w:rPr>
            </w:pPr>
            <w:r w:rsidRPr="00997043">
              <w:rPr>
                <w:rFonts w:ascii="Open Sans" w:hAnsi="Open Sans" w:cs="Open Sans"/>
                <w:sz w:val="22"/>
                <w:szCs w:val="22"/>
              </w:rPr>
              <w:t xml:space="preserve">Zellis Group consists of three companies - Zellis, </w:t>
            </w:r>
            <w:r w:rsidRPr="00E702D2">
              <w:rPr>
                <w:rFonts w:ascii="Open Sans" w:hAnsi="Open Sans" w:cs="Open Sans"/>
                <w:sz w:val="22"/>
                <w:szCs w:val="22"/>
                <w:highlight w:val="yellow"/>
              </w:rPr>
              <w:t>Moorepay</w:t>
            </w:r>
            <w:r w:rsidRPr="00997043">
              <w:rPr>
                <w:rFonts w:ascii="Open Sans" w:hAnsi="Open Sans" w:cs="Open Sans"/>
                <w:sz w:val="22"/>
                <w:szCs w:val="22"/>
              </w:rPr>
              <w:t xml:space="preserve"> and Benefex - who provide services to different customers and have the autonomy to design and deliver products to meet their unique needs. We are three distinct and successful businesses, but there is power as a group.</w:t>
            </w:r>
          </w:p>
          <w:p w14:paraId="19E6A1DD" w14:textId="77777777" w:rsidR="005F5CC5" w:rsidRPr="00997043" w:rsidRDefault="005F5CC5" w:rsidP="00D97C55">
            <w:pPr>
              <w:pStyle w:val="NormalWeb"/>
              <w:spacing w:before="0" w:after="0"/>
              <w:rPr>
                <w:rFonts w:ascii="Open Sans" w:hAnsi="Open Sans" w:cs="Open Sans"/>
                <w:sz w:val="22"/>
                <w:szCs w:val="22"/>
              </w:rPr>
            </w:pPr>
            <w:r w:rsidRPr="00997043">
              <w:rPr>
                <w:rFonts w:ascii="Open Sans" w:hAnsi="Open Sans" w:cs="Open Sans"/>
                <w:sz w:val="22"/>
                <w:szCs w:val="22"/>
              </w:rPr>
              <w:t xml:space="preserve">Our overall purpose is to </w:t>
            </w:r>
            <w:r w:rsidRPr="00997043">
              <w:rPr>
                <w:rFonts w:ascii="Open Sans" w:hAnsi="Open Sans" w:cs="Open Sans"/>
                <w:i/>
                <w:iCs/>
                <w:sz w:val="22"/>
                <w:szCs w:val="22"/>
              </w:rPr>
              <w:t>power exceptional employee experiences so you and your people do better</w:t>
            </w:r>
            <w:r w:rsidRPr="00997043">
              <w:rPr>
                <w:rFonts w:ascii="Open Sans" w:hAnsi="Open Sans" w:cs="Open Sans"/>
                <w:sz w:val="22"/>
                <w:szCs w:val="22"/>
              </w:rPr>
              <w:t>.</w:t>
            </w:r>
          </w:p>
          <w:p w14:paraId="3FDC4EC3" w14:textId="77777777" w:rsidR="005F5CC5" w:rsidRPr="00036C72" w:rsidRDefault="005F5CC5" w:rsidP="00D97C55">
            <w:pPr>
              <w:pStyle w:val="NormalWeb"/>
              <w:spacing w:before="0" w:after="0"/>
              <w:rPr>
                <w:rFonts w:ascii="Open Sans" w:hAnsi="Open Sans" w:cs="Open Sans"/>
                <w:sz w:val="22"/>
                <w:szCs w:val="22"/>
              </w:rPr>
            </w:pPr>
          </w:p>
          <w:p w14:paraId="01C66084" w14:textId="77777777" w:rsidR="005F5CC5" w:rsidRPr="00036C72" w:rsidRDefault="005F5CC5" w:rsidP="00D97C55">
            <w:pPr>
              <w:pStyle w:val="NormalWeb"/>
              <w:spacing w:before="0" w:after="0"/>
              <w:rPr>
                <w:rFonts w:ascii="Open Sans" w:hAnsi="Open Sans" w:cs="Open Sans"/>
                <w:sz w:val="22"/>
                <w:szCs w:val="22"/>
              </w:rPr>
            </w:pPr>
            <w:r w:rsidRPr="00036C72">
              <w:rPr>
                <w:rFonts w:ascii="Open Sans" w:hAnsi="Open Sans" w:cs="Open Sans"/>
                <w:b/>
                <w:bCs/>
                <w:sz w:val="22"/>
                <w:szCs w:val="22"/>
              </w:rPr>
              <w:t>Our history</w:t>
            </w:r>
          </w:p>
          <w:p w14:paraId="32715AFB" w14:textId="77777777" w:rsidR="005F5CC5" w:rsidRPr="00997043" w:rsidRDefault="005F5CC5" w:rsidP="00D97C55">
            <w:pPr>
              <w:pStyle w:val="NormalWeb"/>
              <w:spacing w:before="0" w:after="0"/>
              <w:rPr>
                <w:rFonts w:ascii="Open Sans" w:hAnsi="Open Sans" w:cs="Open Sans"/>
                <w:sz w:val="22"/>
                <w:szCs w:val="22"/>
              </w:rPr>
            </w:pPr>
            <w:r w:rsidRPr="00997043">
              <w:rPr>
                <w:rFonts w:ascii="Open Sans" w:hAnsi="Open Sans" w:cs="Open Sans"/>
                <w:sz w:val="22"/>
                <w:szCs w:val="22"/>
              </w:rPr>
              <w:t>We have over 50 years of heritage and industry experience – and we’ve been ahead of the curve throughout.</w:t>
            </w:r>
          </w:p>
          <w:p w14:paraId="41BC1D69" w14:textId="77777777" w:rsidR="005F5CC5" w:rsidRPr="00997043" w:rsidRDefault="005F5CC5" w:rsidP="00D97C55">
            <w:pPr>
              <w:pStyle w:val="NormalWeb"/>
              <w:spacing w:before="0" w:after="0"/>
              <w:rPr>
                <w:rFonts w:ascii="Open Sans" w:hAnsi="Open Sans" w:cs="Open Sans"/>
                <w:sz w:val="22"/>
                <w:szCs w:val="22"/>
              </w:rPr>
            </w:pPr>
            <w:r w:rsidRPr="00997043">
              <w:rPr>
                <w:rFonts w:ascii="Open Sans" w:hAnsi="Open Sans" w:cs="Open Sans"/>
                <w:sz w:val="22"/>
                <w:szCs w:val="22"/>
              </w:rPr>
              <w:t>More than half a century ago, we were founded as Peterborough Data Processing. Quite a lot has changed since then – not least our name.</w:t>
            </w:r>
          </w:p>
          <w:p w14:paraId="68C127E6" w14:textId="77777777" w:rsidR="005F5CC5" w:rsidRPr="00997043" w:rsidRDefault="005F5CC5" w:rsidP="00D97C55">
            <w:pPr>
              <w:pStyle w:val="NormalWeb"/>
              <w:spacing w:before="0" w:after="0"/>
              <w:rPr>
                <w:rFonts w:ascii="Open Sans" w:hAnsi="Open Sans" w:cs="Open Sans"/>
                <w:sz w:val="22"/>
                <w:szCs w:val="22"/>
              </w:rPr>
            </w:pPr>
            <w:r w:rsidRPr="00997043">
              <w:rPr>
                <w:rFonts w:ascii="Open Sans" w:hAnsi="Open Sans" w:cs="Open Sans"/>
                <w:sz w:val="22"/>
                <w:szCs w:val="22"/>
              </w:rPr>
              <w:t xml:space="preserve">We were acquired by Northgate, becoming NorthgateArinso in 2007 and NGA Human Resources UK and Ireland in 2014, where we were joined by Moorepay. In 2018, the </w:t>
            </w:r>
            <w:r w:rsidRPr="00997043">
              <w:rPr>
                <w:rFonts w:ascii="Open Sans" w:hAnsi="Open Sans" w:cs="Open Sans"/>
                <w:sz w:val="22"/>
                <w:szCs w:val="22"/>
              </w:rPr>
              <w:lastRenderedPageBreak/>
              <w:t>UK and Ireland division was sold to Bain Capital and now we operate as a standalone company.</w:t>
            </w:r>
          </w:p>
          <w:p w14:paraId="55248BD4" w14:textId="77777777" w:rsidR="005F5CC5" w:rsidRPr="00997043" w:rsidRDefault="005F5CC5" w:rsidP="00D97C55">
            <w:pPr>
              <w:pStyle w:val="NormalWeb"/>
              <w:spacing w:before="0" w:after="0"/>
              <w:rPr>
                <w:rFonts w:ascii="Open Sans" w:hAnsi="Open Sans" w:cs="Open Sans"/>
                <w:sz w:val="22"/>
                <w:szCs w:val="22"/>
              </w:rPr>
            </w:pPr>
            <w:r w:rsidRPr="00997043">
              <w:rPr>
                <w:rFonts w:ascii="Open Sans" w:hAnsi="Open Sans" w:cs="Open Sans"/>
                <w:sz w:val="22"/>
                <w:szCs w:val="22"/>
              </w:rPr>
              <w:t>After acquiring Benefex, we’re now even better equipped to serve the complex needs of our customers.</w:t>
            </w:r>
          </w:p>
          <w:p w14:paraId="761525B8" w14:textId="77777777" w:rsidR="005F5CC5" w:rsidRDefault="005F5CC5" w:rsidP="00D97C55">
            <w:pPr>
              <w:pStyle w:val="NormalWeb"/>
              <w:spacing w:before="0" w:after="0"/>
              <w:rPr>
                <w:rFonts w:ascii="Open Sans" w:hAnsi="Open Sans" w:cs="Open Sans"/>
                <w:b/>
                <w:bCs/>
                <w:sz w:val="22"/>
                <w:szCs w:val="22"/>
              </w:rPr>
            </w:pPr>
            <w:r w:rsidRPr="00997043">
              <w:rPr>
                <w:rFonts w:ascii="Open Sans" w:hAnsi="Open Sans" w:cs="Open Sans"/>
                <w:sz w:val="22"/>
                <w:szCs w:val="22"/>
              </w:rPr>
              <w:t xml:space="preserve">In September 2020 we launched Zellis HCM Cloud, the exciting next evolution of ResourceLink, our flagship payroll and HR solution. </w:t>
            </w:r>
          </w:p>
          <w:p w14:paraId="2454FEA7" w14:textId="77777777" w:rsidR="005F5CC5" w:rsidRPr="00036C72" w:rsidRDefault="005F5CC5" w:rsidP="00D97C55">
            <w:pPr>
              <w:pStyle w:val="NormalWeb"/>
              <w:spacing w:before="0" w:after="0"/>
              <w:rPr>
                <w:rFonts w:ascii="Open Sans" w:hAnsi="Open Sans" w:cs="Open Sans"/>
                <w:sz w:val="22"/>
                <w:szCs w:val="22"/>
              </w:rPr>
            </w:pPr>
          </w:p>
          <w:p w14:paraId="6BBA1B6A" w14:textId="77777777" w:rsidR="005F5CC5" w:rsidRPr="00036C72" w:rsidRDefault="005F5CC5" w:rsidP="00D97C55">
            <w:pPr>
              <w:pStyle w:val="NormalWeb"/>
              <w:spacing w:before="0" w:after="0"/>
              <w:rPr>
                <w:rFonts w:ascii="Open Sans" w:hAnsi="Open Sans" w:cs="Open Sans"/>
                <w:sz w:val="22"/>
                <w:szCs w:val="22"/>
              </w:rPr>
            </w:pPr>
            <w:r w:rsidRPr="00036C72">
              <w:rPr>
                <w:rFonts w:ascii="Open Sans" w:hAnsi="Open Sans" w:cs="Open Sans"/>
                <w:b/>
                <w:bCs/>
                <w:sz w:val="22"/>
                <w:szCs w:val="22"/>
              </w:rPr>
              <w:t>We’re proud of our culture</w:t>
            </w:r>
          </w:p>
          <w:p w14:paraId="5DBAAE0A" w14:textId="77777777" w:rsidR="005F5CC5" w:rsidRDefault="005F5CC5" w:rsidP="00D97C55">
            <w:pPr>
              <w:pStyle w:val="NormalWeb"/>
              <w:spacing w:before="0" w:after="0"/>
              <w:rPr>
                <w:rFonts w:ascii="Open Sans" w:hAnsi="Open Sans" w:cs="Open Sans"/>
                <w:sz w:val="22"/>
                <w:szCs w:val="22"/>
              </w:rPr>
            </w:pPr>
            <w:r w:rsidRPr="00036C72">
              <w:rPr>
                <w:rFonts w:ascii="Open Sans" w:hAnsi="Open Sans" w:cs="Open Sans"/>
                <w:sz w:val="22"/>
                <w:szCs w:val="22"/>
              </w:rPr>
              <w:t>At Zellis we work hard to create a culture where people want to join, belong to, and be part of a progressive organisation.</w:t>
            </w:r>
            <w:r>
              <w:rPr>
                <w:rFonts w:ascii="Open Sans" w:hAnsi="Open Sans" w:cs="Open Sans"/>
                <w:sz w:val="22"/>
                <w:szCs w:val="22"/>
              </w:rPr>
              <w:t xml:space="preserve"> </w:t>
            </w:r>
            <w:r w:rsidRPr="00036C72">
              <w:rPr>
                <w:rFonts w:ascii="Open Sans" w:hAnsi="Open Sans" w:cs="Open Sans"/>
                <w:sz w:val="22"/>
                <w:szCs w:val="22"/>
              </w:rPr>
              <w:t>We’re committed to recruiting and retaining a diverse and inclusive workforce that is representative of the customers we serve and the communities we operate in.</w:t>
            </w:r>
          </w:p>
          <w:p w14:paraId="5DB38B46" w14:textId="77777777" w:rsidR="005F5CC5" w:rsidRPr="00036C72" w:rsidRDefault="005F5CC5" w:rsidP="00D97C55">
            <w:pPr>
              <w:pStyle w:val="NormalWeb"/>
              <w:spacing w:before="0" w:after="0"/>
              <w:rPr>
                <w:rFonts w:ascii="Open Sans" w:hAnsi="Open Sans" w:cs="Open Sans"/>
                <w:sz w:val="22"/>
                <w:szCs w:val="22"/>
              </w:rPr>
            </w:pPr>
          </w:p>
          <w:p w14:paraId="4BF2EDDF" w14:textId="77777777" w:rsidR="005F5CC5" w:rsidRDefault="005F5CC5" w:rsidP="00D97C55">
            <w:pPr>
              <w:pStyle w:val="NormalWeb"/>
              <w:spacing w:before="0" w:after="0"/>
              <w:rPr>
                <w:rFonts w:ascii="Open Sans" w:hAnsi="Open Sans" w:cs="Open Sans"/>
                <w:sz w:val="22"/>
                <w:szCs w:val="22"/>
              </w:rPr>
            </w:pPr>
            <w:r w:rsidRPr="00036C72">
              <w:rPr>
                <w:rFonts w:ascii="Open Sans" w:hAnsi="Open Sans" w:cs="Open Sans"/>
                <w:b/>
                <w:bCs/>
                <w:sz w:val="22"/>
                <w:szCs w:val="22"/>
              </w:rPr>
              <w:t>Our values,</w:t>
            </w:r>
            <w:r w:rsidRPr="00036C72">
              <w:rPr>
                <w:rFonts w:ascii="Open Sans" w:hAnsi="Open Sans" w:cs="Open Sans"/>
                <w:sz w:val="22"/>
                <w:szCs w:val="22"/>
              </w:rPr>
              <w:t xml:space="preserve"> which were defined with input from all of our 2,000 colleagues, are not empty words on a poster. They reflect who we are, and how we operate as a business</w:t>
            </w:r>
            <w:r>
              <w:rPr>
                <w:rFonts w:ascii="Open Sans" w:hAnsi="Open Sans" w:cs="Open Sans"/>
                <w:sz w:val="22"/>
                <w:szCs w:val="22"/>
              </w:rPr>
              <w:t>.</w:t>
            </w:r>
          </w:p>
          <w:p w14:paraId="419C5E00" w14:textId="77777777" w:rsidR="005F5CC5" w:rsidRDefault="005F5CC5" w:rsidP="00D97C55">
            <w:pPr>
              <w:pStyle w:val="NormalWeb"/>
              <w:spacing w:before="0" w:after="0"/>
              <w:rPr>
                <w:rFonts w:ascii="Open Sans" w:hAnsi="Open Sans" w:cs="Open Sans"/>
                <w:sz w:val="22"/>
                <w:szCs w:val="22"/>
              </w:rPr>
            </w:pPr>
          </w:p>
          <w:p w14:paraId="26CF059C" w14:textId="77777777" w:rsidR="005F5CC5" w:rsidRPr="00083FFF" w:rsidRDefault="005F5CC5" w:rsidP="00D97C55">
            <w:pPr>
              <w:spacing w:before="0" w:after="0" w:line="240" w:lineRule="auto"/>
              <w:rPr>
                <w:rFonts w:asciiTheme="minorHAnsi" w:hAnsiTheme="minorHAnsi" w:cstheme="minorHAnsi"/>
                <w:color w:val="auto"/>
                <w:sz w:val="22"/>
                <w:szCs w:val="22"/>
                <w:lang w:val="en-US"/>
              </w:rPr>
            </w:pPr>
            <w:r>
              <w:rPr>
                <w:rFonts w:cs="Open Sans"/>
                <w:noProof/>
                <w:sz w:val="22"/>
                <w:szCs w:val="22"/>
              </w:rPr>
              <w:drawing>
                <wp:inline distT="0" distB="0" distL="0" distR="0" wp14:anchorId="60D40143" wp14:editId="64B5DAF2">
                  <wp:extent cx="6267370" cy="1270000"/>
                  <wp:effectExtent l="0" t="0" r="635" b="6350"/>
                  <wp:docPr id="13711133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11331" name="Picture 1" descr="A screenshot of a computer&#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6267370" cy="1270000"/>
                          </a:xfrm>
                          <a:prstGeom prst="rect">
                            <a:avLst/>
                          </a:prstGeom>
                        </pic:spPr>
                      </pic:pic>
                    </a:graphicData>
                  </a:graphic>
                </wp:inline>
              </w:drawing>
            </w:r>
          </w:p>
        </w:tc>
      </w:tr>
    </w:tbl>
    <w:p w14:paraId="378531B9" w14:textId="77777777" w:rsidR="007F3383" w:rsidRDefault="007F3383"/>
    <w:sectPr w:rsidR="007F33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UI">
    <w:panose1 w:val="020B05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931926"/>
    <w:multiLevelType w:val="multilevel"/>
    <w:tmpl w:val="1D40A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9116A5"/>
    <w:multiLevelType w:val="multilevel"/>
    <w:tmpl w:val="BF78F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4B4962"/>
    <w:multiLevelType w:val="multilevel"/>
    <w:tmpl w:val="D79E8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6278147">
    <w:abstractNumId w:val="1"/>
  </w:num>
  <w:num w:numId="2" w16cid:durableId="275987395">
    <w:abstractNumId w:val="0"/>
  </w:num>
  <w:num w:numId="3" w16cid:durableId="12928298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CC5"/>
    <w:rsid w:val="000D352E"/>
    <w:rsid w:val="001579F5"/>
    <w:rsid w:val="0033299D"/>
    <w:rsid w:val="00502F90"/>
    <w:rsid w:val="005F5CC5"/>
    <w:rsid w:val="007F3383"/>
    <w:rsid w:val="008F2484"/>
    <w:rsid w:val="009A063E"/>
    <w:rsid w:val="009A7A39"/>
    <w:rsid w:val="00C25FA2"/>
    <w:rsid w:val="00D97C55"/>
    <w:rsid w:val="00EC0366"/>
    <w:rsid w:val="00FA24D6"/>
    <w:rsid w:val="3D730A91"/>
    <w:rsid w:val="4B0BE6B5"/>
    <w:rsid w:val="5DDBBEA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C8F4E"/>
  <w15:chartTrackingRefBased/>
  <w15:docId w15:val="{C6464B16-E2B8-477A-B527-42369C82C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CC5"/>
    <w:pPr>
      <w:spacing w:before="80" w:line="280" w:lineRule="atLeast"/>
    </w:pPr>
    <w:rPr>
      <w:rFonts w:ascii="Open Sans" w:hAnsi="Open Sans"/>
      <w:color w:val="000000" w:themeColor="text1"/>
      <w:kern w:val="0"/>
      <w:sz w:val="20"/>
      <w:szCs w:val="20"/>
      <w14:ligatures w14:val="none"/>
    </w:rPr>
  </w:style>
  <w:style w:type="paragraph" w:styleId="Heading1">
    <w:name w:val="heading 1"/>
    <w:basedOn w:val="Normal"/>
    <w:next w:val="Normal"/>
    <w:link w:val="Heading1Char"/>
    <w:uiPriority w:val="9"/>
    <w:qFormat/>
    <w:rsid w:val="005F5C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5C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5C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5CC5"/>
    <w:pPr>
      <w:keepNext/>
      <w:keepLines/>
      <w:spacing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5CC5"/>
    <w:pPr>
      <w:keepNext/>
      <w:keepLines/>
      <w:spacing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5C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5C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5C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5C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5C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5C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5C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5C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5C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5C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5C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5C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5CC5"/>
    <w:rPr>
      <w:rFonts w:eastAsiaTheme="majorEastAsia" w:cstheme="majorBidi"/>
      <w:color w:val="272727" w:themeColor="text1" w:themeTint="D8"/>
    </w:rPr>
  </w:style>
  <w:style w:type="paragraph" w:styleId="Title">
    <w:name w:val="Title"/>
    <w:basedOn w:val="Normal"/>
    <w:next w:val="Normal"/>
    <w:link w:val="TitleChar"/>
    <w:uiPriority w:val="10"/>
    <w:qFormat/>
    <w:rsid w:val="005F5C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5C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5C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5C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5CC5"/>
    <w:pPr>
      <w:spacing w:before="160"/>
      <w:jc w:val="center"/>
    </w:pPr>
    <w:rPr>
      <w:i/>
      <w:iCs/>
      <w:color w:val="404040" w:themeColor="text1" w:themeTint="BF"/>
    </w:rPr>
  </w:style>
  <w:style w:type="character" w:customStyle="1" w:styleId="QuoteChar">
    <w:name w:val="Quote Char"/>
    <w:basedOn w:val="DefaultParagraphFont"/>
    <w:link w:val="Quote"/>
    <w:uiPriority w:val="29"/>
    <w:rsid w:val="005F5CC5"/>
    <w:rPr>
      <w:i/>
      <w:iCs/>
      <w:color w:val="404040" w:themeColor="text1" w:themeTint="BF"/>
    </w:rPr>
  </w:style>
  <w:style w:type="paragraph" w:styleId="ListParagraph">
    <w:name w:val="List Paragraph"/>
    <w:basedOn w:val="Normal"/>
    <w:uiPriority w:val="34"/>
    <w:qFormat/>
    <w:rsid w:val="005F5CC5"/>
    <w:pPr>
      <w:ind w:left="720"/>
      <w:contextualSpacing/>
    </w:pPr>
  </w:style>
  <w:style w:type="character" w:styleId="IntenseEmphasis">
    <w:name w:val="Intense Emphasis"/>
    <w:basedOn w:val="DefaultParagraphFont"/>
    <w:uiPriority w:val="21"/>
    <w:qFormat/>
    <w:rsid w:val="005F5CC5"/>
    <w:rPr>
      <w:i/>
      <w:iCs/>
      <w:color w:val="0F4761" w:themeColor="accent1" w:themeShade="BF"/>
    </w:rPr>
  </w:style>
  <w:style w:type="paragraph" w:styleId="IntenseQuote">
    <w:name w:val="Intense Quote"/>
    <w:basedOn w:val="Normal"/>
    <w:next w:val="Normal"/>
    <w:link w:val="IntenseQuoteChar"/>
    <w:uiPriority w:val="30"/>
    <w:qFormat/>
    <w:rsid w:val="005F5C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5CC5"/>
    <w:rPr>
      <w:i/>
      <w:iCs/>
      <w:color w:val="0F4761" w:themeColor="accent1" w:themeShade="BF"/>
    </w:rPr>
  </w:style>
  <w:style w:type="character" w:styleId="IntenseReference">
    <w:name w:val="Intense Reference"/>
    <w:basedOn w:val="DefaultParagraphFont"/>
    <w:uiPriority w:val="32"/>
    <w:qFormat/>
    <w:rsid w:val="005F5CC5"/>
    <w:rPr>
      <w:b/>
      <w:bCs/>
      <w:smallCaps/>
      <w:color w:val="0F4761" w:themeColor="accent1" w:themeShade="BF"/>
      <w:spacing w:val="5"/>
    </w:rPr>
  </w:style>
  <w:style w:type="table" w:styleId="TableGrid">
    <w:name w:val="Table Grid"/>
    <w:aliases w:val="ZDS standard table"/>
    <w:basedOn w:val="TableNormal"/>
    <w:uiPriority w:val="39"/>
    <w:rsid w:val="005F5CC5"/>
    <w:pPr>
      <w:spacing w:before="80" w:line="280" w:lineRule="atLeast"/>
    </w:pPr>
    <w:rPr>
      <w:rFonts w:ascii="Open Sans" w:hAnsi="Open Sans"/>
      <w:color w:val="000000" w:themeColor="text1"/>
      <w:kern w:val="0"/>
      <w:sz w:val="20"/>
      <w:szCs w:val="20"/>
      <w14:ligatures w14:val="none"/>
    </w:rPr>
    <w:tblPr>
      <w:tblBorders>
        <w:top w:val="single" w:sz="4" w:space="0" w:color="E97132" w:themeColor="accent2"/>
        <w:left w:val="single" w:sz="4" w:space="0" w:color="E97132" w:themeColor="accent2"/>
        <w:bottom w:val="single" w:sz="4" w:space="0" w:color="E97132" w:themeColor="accent2"/>
        <w:right w:val="single" w:sz="4" w:space="0" w:color="E97132" w:themeColor="accent2"/>
        <w:insideH w:val="single" w:sz="4" w:space="0" w:color="E97132" w:themeColor="accent2"/>
        <w:insideV w:val="single" w:sz="4" w:space="0" w:color="E97132" w:themeColor="accent2"/>
      </w:tblBorders>
      <w:tblCellMar>
        <w:top w:w="28" w:type="dxa"/>
        <w:left w:w="79" w:type="dxa"/>
        <w:bottom w:w="28" w:type="dxa"/>
        <w:right w:w="79" w:type="dxa"/>
      </w:tblCellMar>
    </w:tblPr>
    <w:tcPr>
      <w:shd w:val="clear" w:color="auto" w:fill="FFFFFF" w:themeFill="background1"/>
    </w:tcPr>
    <w:tblStylePr w:type="firstRow">
      <w:pPr>
        <w:wordWrap/>
        <w:spacing w:beforeLines="0" w:before="40" w:beforeAutospacing="0" w:afterLines="0" w:after="100" w:afterAutospacing="0" w:line="280" w:lineRule="atLeast"/>
        <w:jc w:val="left"/>
      </w:pPr>
      <w:rPr>
        <w:rFonts w:ascii="Yu Gothic UI" w:hAnsi="Yu Gothic UI"/>
        <w:b/>
        <w:i w:val="0"/>
        <w:color w:val="FFFFFF" w:themeColor="background1"/>
        <w:sz w:val="20"/>
      </w:rPr>
      <w:tblPr/>
      <w:trPr>
        <w:cantSplit/>
        <w:tblHeader/>
      </w:trPr>
      <w:tcPr>
        <w:shd w:val="clear" w:color="auto" w:fill="000000" w:themeFill="text1"/>
        <w:vAlign w:val="bottom"/>
      </w:tcPr>
    </w:tblStylePr>
  </w:style>
  <w:style w:type="paragraph" w:styleId="NormalWeb">
    <w:name w:val="Normal (Web)"/>
    <w:basedOn w:val="Normal"/>
    <w:uiPriority w:val="99"/>
    <w:unhideWhenUsed/>
    <w:rsid w:val="005F5CC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660</Words>
  <Characters>3939</Characters>
  <Application>Microsoft Office Word</Application>
  <DocSecurity>0</DocSecurity>
  <Lines>101</Lines>
  <Paragraphs>64</Paragraphs>
  <ScaleCrop>false</ScaleCrop>
  <Company>Zellis</Company>
  <LinksUpToDate>false</LinksUpToDate>
  <CharactersWithSpaces>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Boyes</dc:creator>
  <cp:keywords/>
  <dc:description/>
  <cp:lastModifiedBy>Stephen Pruden</cp:lastModifiedBy>
  <cp:revision>2</cp:revision>
  <dcterms:created xsi:type="dcterms:W3CDTF">2025-10-20T15:52:00Z</dcterms:created>
  <dcterms:modified xsi:type="dcterms:W3CDTF">2025-10-20T15:52:00Z</dcterms:modified>
</cp:coreProperties>
</file>